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7B" w:rsidRDefault="00FC7557" w:rsidP="00FC7557">
      <w:pPr>
        <w:jc w:val="both"/>
        <w:rPr>
          <w:b/>
          <w:sz w:val="32"/>
        </w:rPr>
      </w:pPr>
      <w:r w:rsidRPr="00FC7557">
        <w:rPr>
          <w:b/>
          <w:sz w:val="32"/>
        </w:rPr>
        <w:t>Procedura per L’AFFIDAMENTO del servizio assicurativo</w:t>
      </w:r>
    </w:p>
    <w:p w:rsidR="00FC7557" w:rsidRPr="00FC7557" w:rsidRDefault="00FC7557" w:rsidP="00FC7557">
      <w:pPr>
        <w:jc w:val="both"/>
        <w:rPr>
          <w:i/>
          <w:sz w:val="24"/>
          <w:szCs w:val="24"/>
        </w:rPr>
      </w:pPr>
      <w:r w:rsidRPr="00FC7557">
        <w:rPr>
          <w:i/>
          <w:sz w:val="24"/>
          <w:szCs w:val="24"/>
        </w:rPr>
        <w:t>Dirigenti e Direttori SGA si accingono ad affrontare uno dei temi più scottanti: la gara d’appalto per l’acquisizione del servizio assicurativo. Le Scuole potrebbero essere prive di quelle competenze specifiche atte a garantire all’Ente - ed a chi lo dirige - la tranquillità e la certezza di porre in essere procedure corrette.</w:t>
      </w:r>
    </w:p>
    <w:p w:rsidR="00FC7557" w:rsidRDefault="00FC7557" w:rsidP="00FC7557">
      <w:pPr>
        <w:jc w:val="both"/>
        <w:rPr>
          <w:sz w:val="28"/>
        </w:rPr>
      </w:pPr>
      <w:r w:rsidRPr="00FC7557">
        <w:rPr>
          <w:sz w:val="28"/>
        </w:rPr>
        <w:t xml:space="preserve">In Italia non esiste un bando di emanazione ministeriale. Per questo, molte scuole si avvalgono di schemi di gara inadeguati che non consentono l’individuazione di un aggiudicatario, determinando una situazione di parità tra le società offerenti. DS e DSGA, conseguentemente, devono porre in essere azioni correttive non sempre in linea con le previsioni normative. In base al Codice degli Appalti, uno degli elementi essenziali caratterizzanti una gara è la previsione di un capitolato tecnico, ossia le clausole contrattuali che regolamentano l’operatività delle singole garanzie (le cosiddette condizioni di polizza). Ogni Ente Pubblico, per l’acquisizione di beni e servizi - non solo assicurativi - studia un capitolato tecnico che forma parte integrante della gara e non permette che ogni offerente proponga il proprio testo. L’assenza di un capitolato, infatti, determina offerte disomogenee e quindi difficilmente e oggettivamente comparabili, esponendo la scuola a gravi responsabilità. L’impiego di schemi di gara non conformi alle norme previste in materia di appalti pubblici determina: aggravio del lavoro di segreteria, contestazioni </w:t>
      </w:r>
      <w:proofErr w:type="spellStart"/>
      <w:r w:rsidRPr="00FC7557">
        <w:rPr>
          <w:sz w:val="28"/>
        </w:rPr>
        <w:t>pre</w:t>
      </w:r>
      <w:proofErr w:type="spellEnd"/>
      <w:r w:rsidRPr="00FC7557">
        <w:rPr>
          <w:sz w:val="28"/>
        </w:rPr>
        <w:t xml:space="preserve"> e post gara, costosi ricorsi amministrativi con sanzioni a carico del Dirigente Scolastico.</w:t>
      </w:r>
      <w:r>
        <w:rPr>
          <w:sz w:val="28"/>
        </w:rPr>
        <w:t xml:space="preserve"> </w:t>
      </w:r>
    </w:p>
    <w:p w:rsidR="005E503E" w:rsidRDefault="005E503E" w:rsidP="005E503E">
      <w:pPr>
        <w:jc w:val="both"/>
        <w:rPr>
          <w:sz w:val="36"/>
        </w:rPr>
      </w:pPr>
      <w:r w:rsidRPr="005E503E">
        <w:rPr>
          <w:b/>
          <w:sz w:val="28"/>
        </w:rPr>
        <w:t xml:space="preserve">Contenuto </w:t>
      </w:r>
      <w:r>
        <w:rPr>
          <w:b/>
          <w:sz w:val="28"/>
        </w:rPr>
        <w:t>del link</w:t>
      </w:r>
      <w:r>
        <w:rPr>
          <w:sz w:val="28"/>
        </w:rPr>
        <w:t xml:space="preserve"> </w:t>
      </w:r>
      <w:hyperlink r:id="rId6" w:tgtFrame="_blank" w:history="1">
        <w:r w:rsidRPr="005E503E">
          <w:rPr>
            <w:rStyle w:val="Collegamentoipertestuale"/>
            <w:rFonts w:ascii="Arial" w:hAnsi="Arial" w:cs="Arial"/>
            <w:color w:val="1155CC"/>
            <w:szCs w:val="19"/>
            <w:shd w:val="clear" w:color="auto" w:fill="FFFFFF"/>
          </w:rPr>
          <w:t>http://www.dionisoeditore.it/download/euroedizioni/index.html</w:t>
        </w:r>
      </w:hyperlink>
      <w:r>
        <w:rPr>
          <w:sz w:val="28"/>
        </w:rPr>
        <w:t xml:space="preserve"> </w:t>
      </w:r>
    </w:p>
    <w:p w:rsidR="005E503E" w:rsidRPr="005E503E" w:rsidRDefault="005E503E" w:rsidP="005E503E">
      <w:pPr>
        <w:jc w:val="both"/>
        <w:rPr>
          <w:sz w:val="36"/>
        </w:rPr>
      </w:pPr>
      <w:r>
        <w:rPr>
          <w:sz w:val="28"/>
        </w:rPr>
        <w:t>Nel link v</w:t>
      </w:r>
      <w:bookmarkStart w:id="0" w:name="_GoBack"/>
      <w:bookmarkEnd w:id="0"/>
      <w:r>
        <w:rPr>
          <w:sz w:val="28"/>
        </w:rPr>
        <w:t xml:space="preserve">iene esposta una procedura di </w:t>
      </w:r>
      <w:r w:rsidRPr="005E503E">
        <w:rPr>
          <w:sz w:val="28"/>
        </w:rPr>
        <w:t>gara semplice e garanti</w:t>
      </w:r>
      <w:r>
        <w:rPr>
          <w:sz w:val="28"/>
        </w:rPr>
        <w:t xml:space="preserve">ta che risponde ai dettami del </w:t>
      </w:r>
      <w:r w:rsidRPr="005E503E">
        <w:rPr>
          <w:sz w:val="28"/>
        </w:rPr>
        <w:t>Codice degli Appalti. Lo schema di gara in questione:</w:t>
      </w:r>
    </w:p>
    <w:p w:rsidR="005E503E" w:rsidRPr="005E503E" w:rsidRDefault="005E503E" w:rsidP="005E503E">
      <w:pPr>
        <w:pStyle w:val="Paragrafoelenco"/>
        <w:numPr>
          <w:ilvl w:val="0"/>
          <w:numId w:val="1"/>
        </w:numPr>
        <w:jc w:val="both"/>
        <w:rPr>
          <w:sz w:val="28"/>
        </w:rPr>
      </w:pPr>
      <w:r w:rsidRPr="005E503E">
        <w:rPr>
          <w:sz w:val="28"/>
        </w:rPr>
        <w:t>prevede una ba</w:t>
      </w:r>
      <w:r w:rsidRPr="005E503E">
        <w:rPr>
          <w:sz w:val="28"/>
        </w:rPr>
        <w:t xml:space="preserve">se d’asta, in linea con quanto </w:t>
      </w:r>
      <w:r w:rsidRPr="005E503E">
        <w:rPr>
          <w:sz w:val="28"/>
        </w:rPr>
        <w:t>disciplinato dagli art. 64 e 67 del Codice degli Appalti;</w:t>
      </w:r>
    </w:p>
    <w:p w:rsidR="005E503E" w:rsidRPr="005E503E" w:rsidRDefault="005E503E" w:rsidP="005E503E">
      <w:pPr>
        <w:pStyle w:val="Paragrafoelenco"/>
        <w:numPr>
          <w:ilvl w:val="0"/>
          <w:numId w:val="1"/>
        </w:numPr>
        <w:jc w:val="both"/>
        <w:rPr>
          <w:sz w:val="28"/>
        </w:rPr>
      </w:pPr>
      <w:r w:rsidRPr="005E503E">
        <w:rPr>
          <w:sz w:val="28"/>
        </w:rPr>
        <w:t>è improntato al criter</w:t>
      </w:r>
      <w:r w:rsidRPr="005E503E">
        <w:rPr>
          <w:sz w:val="28"/>
        </w:rPr>
        <w:t xml:space="preserve">io dell’offerta economicamente </w:t>
      </w:r>
      <w:r w:rsidRPr="005E503E">
        <w:rPr>
          <w:sz w:val="28"/>
        </w:rPr>
        <w:t xml:space="preserve">più vantaggiosa (art. 83 del D. </w:t>
      </w:r>
      <w:proofErr w:type="spellStart"/>
      <w:r w:rsidRPr="005E503E">
        <w:rPr>
          <w:sz w:val="28"/>
        </w:rPr>
        <w:t>Lgs</w:t>
      </w:r>
      <w:proofErr w:type="spellEnd"/>
      <w:r w:rsidRPr="005E503E">
        <w:rPr>
          <w:sz w:val="28"/>
        </w:rPr>
        <w:t xml:space="preserve"> n. 163/2006);</w:t>
      </w:r>
    </w:p>
    <w:p w:rsidR="005E503E" w:rsidRPr="005E503E" w:rsidRDefault="005E503E" w:rsidP="005E503E">
      <w:pPr>
        <w:pStyle w:val="Paragrafoelenco"/>
        <w:numPr>
          <w:ilvl w:val="0"/>
          <w:numId w:val="1"/>
        </w:numPr>
        <w:jc w:val="both"/>
        <w:rPr>
          <w:sz w:val="28"/>
        </w:rPr>
      </w:pPr>
      <w:r w:rsidRPr="005E503E">
        <w:rPr>
          <w:sz w:val="28"/>
        </w:rPr>
        <w:t>prevede un capitolat</w:t>
      </w:r>
      <w:r w:rsidRPr="005E503E">
        <w:rPr>
          <w:sz w:val="28"/>
        </w:rPr>
        <w:t xml:space="preserve">o tecnico che fissa le modalità </w:t>
      </w:r>
      <w:r w:rsidRPr="005E503E">
        <w:rPr>
          <w:sz w:val="28"/>
        </w:rPr>
        <w:t>di copertura assicurativa di ogni si</w:t>
      </w:r>
      <w:r w:rsidRPr="005E503E">
        <w:rPr>
          <w:sz w:val="28"/>
        </w:rPr>
        <w:t xml:space="preserve">ngola garanzia </w:t>
      </w:r>
      <w:r w:rsidRPr="005E503E">
        <w:rPr>
          <w:sz w:val="28"/>
        </w:rPr>
        <w:t>richiesta, precisando e</w:t>
      </w:r>
      <w:r w:rsidRPr="005E503E">
        <w:rPr>
          <w:sz w:val="28"/>
        </w:rPr>
        <w:t xml:space="preserve">ventuali scoperti, franchigie, </w:t>
      </w:r>
      <w:r w:rsidRPr="005E503E">
        <w:rPr>
          <w:sz w:val="28"/>
        </w:rPr>
        <w:t>esclusioni (Art. 279 del DPR 207/2010);</w:t>
      </w:r>
    </w:p>
    <w:p w:rsidR="005E503E" w:rsidRPr="005E503E" w:rsidRDefault="005E503E" w:rsidP="005E503E">
      <w:pPr>
        <w:pStyle w:val="Paragrafoelenco"/>
        <w:numPr>
          <w:ilvl w:val="0"/>
          <w:numId w:val="1"/>
        </w:numPr>
        <w:jc w:val="both"/>
        <w:rPr>
          <w:sz w:val="28"/>
        </w:rPr>
      </w:pPr>
      <w:r w:rsidRPr="005E503E">
        <w:rPr>
          <w:sz w:val="28"/>
        </w:rPr>
        <w:t>consente una più ampia partecipazione da parte dei soggetti economici;</w:t>
      </w:r>
    </w:p>
    <w:p w:rsidR="005E503E" w:rsidRPr="005E503E" w:rsidRDefault="005E503E" w:rsidP="005E503E">
      <w:pPr>
        <w:pStyle w:val="Paragrafoelenco"/>
        <w:numPr>
          <w:ilvl w:val="0"/>
          <w:numId w:val="1"/>
        </w:numPr>
        <w:jc w:val="both"/>
        <w:rPr>
          <w:sz w:val="28"/>
        </w:rPr>
      </w:pPr>
      <w:r w:rsidRPr="005E503E">
        <w:rPr>
          <w:sz w:val="28"/>
        </w:rPr>
        <w:t xml:space="preserve">tutela i Dirigenti </w:t>
      </w:r>
      <w:r w:rsidRPr="005E503E">
        <w:rPr>
          <w:sz w:val="28"/>
        </w:rPr>
        <w:t xml:space="preserve">Scolastici da contestazioni ed </w:t>
      </w:r>
      <w:r w:rsidRPr="005E503E">
        <w:rPr>
          <w:sz w:val="28"/>
        </w:rPr>
        <w:t>eventuali ricorsi amministrativi.</w:t>
      </w:r>
    </w:p>
    <w:p w:rsidR="005E503E" w:rsidRPr="00FC7557" w:rsidRDefault="005E503E" w:rsidP="00FC7557">
      <w:pPr>
        <w:jc w:val="both"/>
        <w:rPr>
          <w:sz w:val="28"/>
        </w:rPr>
      </w:pPr>
    </w:p>
    <w:sectPr w:rsidR="005E503E" w:rsidRPr="00FC7557" w:rsidSect="005E503E">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19E5"/>
    <w:multiLevelType w:val="hybridMultilevel"/>
    <w:tmpl w:val="359C1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57"/>
    <w:rsid w:val="005E503E"/>
    <w:rsid w:val="00BF62BE"/>
    <w:rsid w:val="00E0417B"/>
    <w:rsid w:val="00FC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03E"/>
    <w:pPr>
      <w:ind w:left="720"/>
      <w:contextualSpacing/>
    </w:pPr>
  </w:style>
  <w:style w:type="character" w:styleId="Collegamentoipertestuale">
    <w:name w:val="Hyperlink"/>
    <w:basedOn w:val="Carpredefinitoparagrafo"/>
    <w:uiPriority w:val="99"/>
    <w:semiHidden/>
    <w:unhideWhenUsed/>
    <w:rsid w:val="005E50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03E"/>
    <w:pPr>
      <w:ind w:left="720"/>
      <w:contextualSpacing/>
    </w:pPr>
  </w:style>
  <w:style w:type="character" w:styleId="Collegamentoipertestuale">
    <w:name w:val="Hyperlink"/>
    <w:basedOn w:val="Carpredefinitoparagrafo"/>
    <w:uiPriority w:val="99"/>
    <w:semiHidden/>
    <w:unhideWhenUsed/>
    <w:rsid w:val="005E5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nisoeditore.it/download/euroedizioni/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2133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Mallus</dc:creator>
  <cp:lastModifiedBy>Fabrizio Mallus</cp:lastModifiedBy>
  <cp:revision>3</cp:revision>
  <dcterms:created xsi:type="dcterms:W3CDTF">2014-07-30T14:41:00Z</dcterms:created>
  <dcterms:modified xsi:type="dcterms:W3CDTF">2014-07-30T14:57:00Z</dcterms:modified>
</cp:coreProperties>
</file>